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1F3864"/>
          <w:sz w:val="34"/>
          <w:szCs w:val="34"/>
        </w:rPr>
        <w:t xml:space="preserve">AI Search Visibility Scorecard</w:t>
      </w:r>
    </w:p>
    <w:p>
      <w:pPr>
        <w:spacing w:after="20"/>
      </w:pPr>
      <w:r>
        <w:rPr>
          <w:rFonts w:ascii="Calibri" w:cs="Calibri" w:eastAsia="Calibri" w:hAnsi="Calibri"/>
          <w:b/>
          <w:bCs/>
          <w:color w:val="222222"/>
          <w:sz w:val="22"/>
          <w:szCs w:val="22"/>
        </w:rPr>
        <w:t xml:space="preserve">Your Company Name (yourcompany.com)</w:t>
      </w:r>
    </w:p>
    <w:p>
      <w:pPr>
        <w:spacing w:after="120"/>
      </w:pPr>
      <w:r>
        <w:rPr>
          <w:rFonts w:ascii="Calibri" w:cs="Calibri" w:eastAsia="Calibri" w:hAnsi="Calibri"/>
          <w:i/>
          <w:iCs/>
          <w:color w:val="595959"/>
          <w:sz w:val="19"/>
          <w:szCs w:val="19"/>
        </w:rPr>
        <w:t xml:space="preserve">August 2026  |  Covers ChatGPT, Gemini, Claude, Perplexity, Google AI Overview</w:t>
      </w:r>
    </w:p>
    <w:p>
      <w:pPr>
        <w:pBdr>
          <w:bottom w:val="single" w:color="1F3864" w:sz="6"/>
        </w:pBdr>
        <w:spacing w:after="160" w:before="60"/>
      </w:pPr>
    </w:p>
    <w:p>
      <w:pPr>
        <w:spacing w:after="200"/>
      </w:pPr>
      <w:r>
        <w:rPr>
          <w:rFonts w:ascii="Calibri" w:cs="Calibri" w:eastAsia="Calibri" w:hAnsi="Calibri"/>
          <w:b/>
          <w:bCs/>
          <w:color w:val="1F3864"/>
          <w:sz w:val="24"/>
          <w:szCs w:val="24"/>
        </w:rPr>
        <w:t xml:space="preserve">Overall AI Visibility Score: </w:t>
      </w:r>
      <w:r>
        <w:rPr>
          <w:rFonts w:ascii="Calibri" w:cs="Calibri" w:eastAsia="Calibri" w:hAnsi="Calibri"/>
          <w:b/>
          <w:bCs/>
          <w:color w:val="C00000"/>
          <w:sz w:val="24"/>
          <w:szCs w:val="24"/>
        </w:rPr>
        <w:t xml:space="preserve">4.6 / 10 — 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900"/>
        <w:gridCol w:w="1100"/>
        <w:gridCol w:w="5860"/>
      </w:tblGrid>
      <w:tr>
        <w:trPr>
          <w:tblHeader/>
        </w:trPr>
        <w:tc>
          <w:tcPr>
            <w:tcW w:type="dxa" w:w="150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Platform</w:t>
            </w:r>
          </w:p>
        </w:tc>
        <w:tc>
          <w:tcPr>
            <w:tcW w:type="dxa" w:w="90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Score /10</w:t>
            </w:r>
          </w:p>
        </w:tc>
        <w:tc>
          <w:tcPr>
            <w:tcW w:type="dxa" w:w="110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Rating</w:t>
            </w:r>
          </w:p>
        </w:tc>
        <w:tc>
          <w:tcPr>
            <w:tcW w:type="dxa" w:w="586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Key Findings</w:t>
            </w:r>
          </w:p>
        </w:tc>
      </w:tr>
      <w:tr>
        <w:trPr>
          <w:cantSplit/>
        </w:trPr>
        <w:tc>
          <w:tcPr>
            <w:tcW w:type="dxa" w:w="15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Google AI Overview</w:t>
            </w:r>
          </w:p>
        </w:tc>
        <w:tc>
          <w:tcPr>
            <w:tcW w:type="dxa" w:w="90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6</w:t>
            </w:r>
          </w:p>
        </w:tc>
        <w:tc>
          <w:tcPr>
            <w:tcW w:type="dxa" w:w="110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Medium</w:t>
            </w:r>
          </w:p>
        </w:tc>
        <w:tc>
          <w:tcPr>
            <w:tcW w:type="dxa" w:w="586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Appears organically on page one for core category searches (e.g., "B2B [category] provider for mid-market companies") thanks to well-structured service pages. Google's AI Overviews lean heavily on organic ranking plus review signals, and Your Company Name's moderate, unevenly distributed review footprint limits how often it becomes the featured answer.</w:t>
            </w:r>
          </w:p>
        </w:tc>
      </w:tr>
      <w:tr>
        <w:trPr>
          <w:cantSplit/>
        </w:trPr>
        <w:tc>
          <w:tcPr>
            <w:tcW w:type="dxa" w:w="1500"/>
            <w:shd w:fill="F2F2F2"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Perplexity</w:t>
            </w:r>
          </w:p>
        </w:tc>
        <w:tc>
          <w:tcPr>
            <w:tcW w:type="dxa" w:w="90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5</w:t>
            </w:r>
          </w:p>
        </w:tc>
        <w:tc>
          <w:tcPr>
            <w:tcW w:type="dxa" w:w="110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Low</w:t>
            </w:r>
          </w:p>
        </w:tc>
        <w:tc>
          <w:tcPr>
            <w:tcW w:type="dxa" w:w="586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Perplexity grounds answers in live web citations, and Your Company Name's site content (product pages, a handful of blog posts) is crawlable but not deep or frequently updated. It surfaces occasionally for narrow, well-matched queries but rarely for broad "best of" or comparison roundups, where more heavily-linked competitors dominate third-party listicles.</w:t>
            </w:r>
          </w:p>
        </w:tc>
      </w:tr>
      <w:tr>
        <w:trPr>
          <w:cantSplit/>
        </w:trPr>
        <w:tc>
          <w:tcPr>
            <w:tcW w:type="dxa" w:w="15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ChatGPT (Search/Browsing)</w:t>
            </w:r>
          </w:p>
        </w:tc>
        <w:tc>
          <w:tcPr>
            <w:tcW w:type="dxa" w:w="90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5</w:t>
            </w:r>
          </w:p>
        </w:tc>
        <w:tc>
          <w:tcPr>
            <w:tcW w:type="dxa" w:w="110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Low</w:t>
            </w:r>
          </w:p>
        </w:tc>
        <w:tc>
          <w:tcPr>
            <w:tcW w:type="dxa" w:w="586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Similar dependency on live search grounding. Your Company Name lacks a deep third-party footprint (press coverage, industry-association features, analyst mentions, comparison articles) that would give it repeated citation opportunities. Brand recall is reasonable for direct, named queries but weak for open discovery queries.</w:t>
            </w:r>
          </w:p>
        </w:tc>
      </w:tr>
      <w:tr>
        <w:trPr>
          <w:cantSplit/>
        </w:trPr>
        <w:tc>
          <w:tcPr>
            <w:tcW w:type="dxa" w:w="1500"/>
            <w:shd w:fill="F2F2F2"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Gemini</w:t>
            </w:r>
          </w:p>
        </w:tc>
        <w:tc>
          <w:tcPr>
            <w:tcW w:type="dxa" w:w="90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4</w:t>
            </w:r>
          </w:p>
        </w:tc>
        <w:tc>
          <w:tcPr>
            <w:tcW w:type="dxa" w:w="110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Low</w:t>
            </w:r>
          </w:p>
        </w:tc>
        <w:tc>
          <w:tcPr>
            <w:tcW w:type="dxa" w:w="586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Gemini's grounded answers pull from Google's index (similar dynamics to AI Overview), but its base model shows little independent recall of a mid-size, regionally-focused B2B provider. Answers depend almost entirely on live grounding being triggered, keeping it in the Low band.</w:t>
            </w:r>
          </w:p>
        </w:tc>
      </w:tr>
      <w:tr>
        <w:trPr>
          <w:cantSplit/>
        </w:trPr>
        <w:tc>
          <w:tcPr>
            <w:tcW w:type="dxa" w:w="15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Claude</w:t>
            </w:r>
          </w:p>
        </w:tc>
        <w:tc>
          <w:tcPr>
            <w:tcW w:type="dxa" w:w="90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3</w:t>
            </w:r>
          </w:p>
        </w:tc>
        <w:tc>
          <w:tcPr>
            <w:tcW w:type="dxa" w:w="110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Low</w:t>
            </w:r>
          </w:p>
        </w:tc>
        <w:tc>
          <w:tcPr>
            <w:tcW w:type="dxa" w:w="586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Without web search enabled, Claude's training data contains minimal to no specific knowledge of Your Company Name, a mid-size B2B provider with a modest digital footprint relative to national competitors. When search is enabled, performance approaches the ChatGPT/Perplexity tier, but default (non-search) recall is low.</w:t>
            </w:r>
          </w:p>
        </w:tc>
      </w:tr>
    </w:tbl>
    <w:p>
      <w:pPr>
        <w:spacing w:after="100" w:before="260"/>
      </w:pPr>
      <w:r>
        <w:rPr>
          <w:rFonts w:ascii="Calibri" w:cs="Calibri" w:eastAsia="Calibri" w:hAnsi="Calibri"/>
          <w:b/>
          <w:bCs/>
          <w:color w:val="1F3864"/>
          <w:sz w:val="24"/>
          <w:szCs w:val="24"/>
        </w:rPr>
        <w:t xml:space="preserve">Grading Rubric</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900"/>
        <w:gridCol w:w="1100"/>
        <w:gridCol w:w="3130"/>
        <w:gridCol w:w="3230"/>
      </w:tblGrid>
      <w:tr>
        <w:trPr>
          <w:tblHeader/>
        </w:trPr>
        <w:tc>
          <w:tcPr>
            <w:tcW w:type="dxa" w:w="90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Score</w:t>
            </w:r>
          </w:p>
        </w:tc>
        <w:tc>
          <w:tcPr>
            <w:tcW w:type="dxa" w:w="110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Category</w:t>
            </w:r>
          </w:p>
        </w:tc>
        <w:tc>
          <w:tcPr>
            <w:tcW w:type="dxa" w:w="313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Definition</w:t>
            </w:r>
          </w:p>
        </w:tc>
        <w:tc>
          <w:tcPr>
            <w:tcW w:type="dxa" w:w="3230"/>
            <w:shd w:fill="1F3864" w:val="clear"/>
            <w:tcMar>
              <w:top w:type="dxa" w:w="100"/>
              <w:left w:type="dxa" w:w="100"/>
              <w:bottom w:type="dxa" w:w="100"/>
              <w:right w:type="dxa" w:w="100"/>
            </w:tcMar>
            <w:vAlign w:val="center"/>
          </w:tcPr>
          <w:p>
            <w:pPr>
              <w:spacing w:after="40" w:before="40"/>
            </w:pPr>
            <w:r>
              <w:rPr>
                <w:rFonts w:ascii="Calibri" w:cs="Calibri" w:eastAsia="Calibri" w:hAnsi="Calibri"/>
                <w:b/>
                <w:bCs/>
                <w:color w:val="FFFFFF"/>
                <w:sz w:val="19"/>
                <w:szCs w:val="19"/>
              </w:rPr>
              <w:t xml:space="preserve">What it looks like in practice</w:t>
            </w:r>
          </w:p>
        </w:tc>
      </w:tr>
      <w:tr>
        <w:trPr>
          <w:cantSplit/>
        </w:trPr>
        <w:tc>
          <w:tcPr>
            <w:tcW w:type="dxa" w:w="9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1–5</w:t>
            </w:r>
          </w:p>
        </w:tc>
        <w:tc>
          <w:tcPr>
            <w:tcW w:type="dxa" w:w="11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Low</w:t>
            </w:r>
          </w:p>
        </w:tc>
        <w:tc>
          <w:tcPr>
            <w:tcW w:type="dxa" w:w="313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The AI engine rarely or inconsistently surfaces Your Company Name. It may answer accurately when the brand is named directly, but does not proactively recommend it, or only does so weakly, for open-ended category or comparison queries.</w:t>
            </w:r>
          </w:p>
        </w:tc>
        <w:tc>
          <w:tcPr>
            <w:tcW w:type="dxa" w:w="323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Asking "who are the top [category] companies for mid-market B2B buyers" returns competitors only; direct brand questions produce a thin, generic, or only partially accurate answer.</w:t>
            </w:r>
          </w:p>
        </w:tc>
      </w:tr>
      <w:tr>
        <w:trPr>
          <w:cantSplit/>
        </w:trPr>
        <w:tc>
          <w:tcPr>
            <w:tcW w:type="dxa" w:w="900"/>
            <w:shd w:fill="F2F2F2"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6–8</w:t>
            </w:r>
          </w:p>
        </w:tc>
        <w:tc>
          <w:tcPr>
            <w:tcW w:type="dxa" w:w="1100"/>
            <w:shd w:fill="F2F2F2"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Medium</w:t>
            </w:r>
          </w:p>
        </w:tc>
        <w:tc>
          <w:tcPr>
            <w:tcW w:type="dxa" w:w="313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The brand appears with reasonable consistency for both branded and some category queries, with accurate and reasonably current detail, though it is not yet a default recommendation.</w:t>
            </w:r>
          </w:p>
        </w:tc>
        <w:tc>
          <w:tcPr>
            <w:tcW w:type="dxa" w:w="3230"/>
            <w:shd w:fill="F2F2F2"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The engine describes the company accurately when named and occasionally surfaces it in broader category answers, but competitors are still cited more often.</w:t>
            </w:r>
          </w:p>
        </w:tc>
      </w:tr>
      <w:tr>
        <w:trPr>
          <w:cantSplit/>
        </w:trPr>
        <w:tc>
          <w:tcPr>
            <w:tcW w:type="dxa" w:w="9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9–10</w:t>
            </w:r>
          </w:p>
        </w:tc>
        <w:tc>
          <w:tcPr>
            <w:tcW w:type="dxa" w:w="1100"/>
            <w:shd w:fill="FFFFFF" w:val="clear"/>
            <w:tcMar>
              <w:top w:type="dxa" w:w="100"/>
              <w:left w:type="dxa" w:w="100"/>
              <w:bottom w:type="dxa" w:w="100"/>
              <w:right w:type="dxa" w:w="100"/>
            </w:tcMar>
            <w:vAlign w:val="center"/>
          </w:tcPr>
          <w:p>
            <w:pPr>
              <w:spacing w:after="40" w:before="40"/>
            </w:pPr>
            <w:r>
              <w:rPr>
                <w:rFonts w:ascii="Calibri" w:cs="Calibri" w:eastAsia="Calibri" w:hAnsi="Calibri"/>
                <w:b/>
                <w:bCs/>
                <w:color w:val="222222"/>
                <w:sz w:val="18"/>
                <w:szCs w:val="18"/>
              </w:rPr>
              <w:t xml:space="preserve">High</w:t>
            </w:r>
          </w:p>
        </w:tc>
        <w:tc>
          <w:tcPr>
            <w:tcW w:type="dxa" w:w="313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The brand is a top, repeatable recommendation across most relevant category prompts, cited with rich, current detail and consistently included in comparisons.</w:t>
            </w:r>
          </w:p>
        </w:tc>
        <w:tc>
          <w:tcPr>
            <w:tcW w:type="dxa" w:w="3230"/>
            <w:shd w:fill="FFFFFF" w:val="clear"/>
            <w:tcMar>
              <w:top w:type="dxa" w:w="100"/>
              <w:left w:type="dxa" w:w="100"/>
              <w:bottom w:type="dxa" w:w="100"/>
              <w:right w:type="dxa" w:w="100"/>
            </w:tcMar>
            <w:vAlign w:val="center"/>
          </w:tcPr>
          <w:p>
            <w:pPr>
              <w:spacing w:after="40" w:before="40"/>
            </w:pPr>
            <w:r>
              <w:rPr>
                <w:rFonts w:ascii="Calibri" w:cs="Calibri" w:eastAsia="Calibri" w:hAnsi="Calibri"/>
                <w:b w:val="false"/>
                <w:bCs w:val="false"/>
                <w:color w:val="222222"/>
                <w:sz w:val="18"/>
                <w:szCs w:val="18"/>
              </w:rPr>
              <w:t xml:space="preserve">Consistently one of the first companies named in AI answers about providers in its category.</w:t>
            </w:r>
          </w:p>
        </w:tc>
      </w:tr>
    </w:tbl>
    <w:p>
      <w:pPr>
        <w:spacing w:after="60" w:before="260"/>
      </w:pPr>
      <w:r>
        <w:rPr>
          <w:rFonts w:ascii="Calibri" w:cs="Calibri" w:eastAsia="Calibri" w:hAnsi="Calibri"/>
          <w:b/>
          <w:bCs/>
          <w:color w:val="1F3864"/>
          <w:sz w:val="20"/>
          <w:szCs w:val="20"/>
        </w:rPr>
        <w:t xml:space="preserve">Note</w:t>
      </w:r>
    </w:p>
    <w:p>
      <w:pPr>
        <w:spacing w:after="220"/>
      </w:pPr>
      <w:r>
        <w:rPr>
          <w:rFonts w:ascii="Calibri" w:cs="Calibri" w:eastAsia="Calibri" w:hAnsi="Calibri"/>
          <w:i/>
          <w:iCs/>
          <w:color w:val="595959"/>
          <w:sz w:val="17"/>
          <w:szCs w:val="17"/>
        </w:rPr>
        <w:t xml:space="preserve">This assessment is based on discoverability signals that generative AI engines rely on to cite answers, organic search presence for relevant category queries, on-site content depth and structure, third-party citations and directory/review coverage, and comparison to competitor footprints. Treat the scores only as a directional baseline.</w:t>
      </w:r>
    </w:p>
    <w:p>
      <w:pPr>
        <w:spacing w:after="80" w:before="120"/>
      </w:pPr>
      <w:r>
        <w:rPr>
          <w:rFonts w:ascii="Calibri" w:cs="Calibri" w:eastAsia="Calibri" w:hAnsi="Calibri"/>
          <w:b/>
          <w:bCs/>
          <w:color w:val="1F3864"/>
          <w:sz w:val="24"/>
          <w:szCs w:val="24"/>
        </w:rPr>
        <w:t xml:space="preserve">Summary of Findings</w:t>
      </w:r>
    </w:p>
    <w:p>
      <w:pPr>
        <w:spacing w:after="220"/>
      </w:pPr>
      <w:r>
        <w:rPr>
          <w:rFonts w:ascii="Calibri" w:cs="Calibri" w:eastAsia="Calibri" w:hAnsi="Calibri"/>
          <w:color w:val="222222"/>
          <w:sz w:val="19"/>
          <w:szCs w:val="19"/>
        </w:rPr>
        <w:t xml:space="preserve">Your Company Name's overall AI visibility score of 4.6/10 places it in the Low band, with performance skewing weaker on platforms that depend on the model's own trained recall (Claude, Gemini) and stronger on platforms grounded in live web search (Google AI Overview, Perplexity). The pattern points to a company that is discoverable when directly named but rarely surfaces proactively in open-ended category or comparison queries, where competitors with deeper third-party citations, press coverage, and review volume are cited more often. The underlying gap is not accuracy — engines describe the company correctly once found — but reach: thin review coverage, limited third-party mentions, and modest content depth reduce the number of ways an AI engine can independently arrive at and recommend the brand.</w:t>
      </w:r>
    </w:p>
    <w:p>
      <w:pPr>
        <w:spacing w:after="80" w:before="40"/>
      </w:pPr>
      <w:r>
        <w:rPr>
          <w:rFonts w:ascii="Calibri" w:cs="Calibri" w:eastAsia="Calibri" w:hAnsi="Calibri"/>
          <w:b/>
          <w:bCs/>
          <w:color w:val="1F3864"/>
          <w:sz w:val="24"/>
          <w:szCs w:val="24"/>
        </w:rPr>
        <w:t xml:space="preserve">Recommended Actions</w:t>
      </w:r>
    </w:p>
    <w:p>
      <w:pPr>
        <w:spacing w:after="0"/>
      </w:pPr>
      <w:r>
        <w:rPr>
          <w:rFonts w:ascii="Calibri" w:cs="Calibri" w:eastAsia="Calibri" w:hAnsi="Calibri"/>
          <w:color w:val="222222"/>
          <w:sz w:val="19"/>
          <w:szCs w:val="19"/>
        </w:rPr>
        <w:t xml:space="preserve">Priority should go to building the third-party and review footprint that grounded engines (Google AI Overview, Perplexity, ChatGPT with browsing) rely on most: securing a rated presence on major review platforms, pursuing industry-association features and press mentions, and getting listed in relevant comparison and directory content. In parallel, expanding on-site content depth — detailed service pages, buyer-guide style articles, and comparison content targeting category and "best of" queries — will improve citation odds on search-grounded engines. Because Claude and Gemini lean more heavily on trained recall, sustained content and citation volume over time is the main lever for improving those scores, as there is no way to directly influence a model's training data. Reassessing quarterly will show whether these efforts are shifting the brand from a Low to a Medium visibility band.</w:t>
      </w:r>
    </w:p>
    <w:sectPr>
      <w:pgSz w:w="12240" w:h="15840" w:orient="portrait"/>
      <w:pgMar w:top="620" w:right="720" w:bottom="6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2026-08-19T21:16:59.122Z</dcterms:created>
  <dcterms:modified xsi:type="dcterms:W3CDTF">2026-08-19T21:16:59.142Z</dcterms:modified>
</cp:coreProperties>
</file>

<file path=docProps/custom.xml><?xml version="1.0" encoding="utf-8"?>
<Properties xmlns="http://schemas.openxmlformats.org/officeDocument/2006/custom-properties" xmlns:vt="http://schemas.openxmlformats.org/officeDocument/2006/docPropsVTypes"/>
</file>